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AC" w:rsidRPr="000941AC" w:rsidRDefault="000941AC" w:rsidP="000941AC">
      <w:pPr>
        <w:jc w:val="both"/>
        <w:rPr>
          <w:rFonts w:ascii="Arial" w:hAnsi="Arial" w:cs="Arial"/>
          <w:b/>
          <w:sz w:val="36"/>
          <w:szCs w:val="36"/>
        </w:rPr>
      </w:pPr>
      <w:r w:rsidRPr="000941AC">
        <w:rPr>
          <w:rFonts w:ascii="Arial" w:hAnsi="Arial" w:cs="Arial"/>
          <w:b/>
          <w:sz w:val="36"/>
          <w:szCs w:val="36"/>
        </w:rPr>
        <w:t>Törvénytisztelők-e a magyar önkormányzatok?</w:t>
      </w:r>
    </w:p>
    <w:p w:rsidR="005D291C" w:rsidRPr="000941AC" w:rsidRDefault="005D291C" w:rsidP="005D291C">
      <w:pPr>
        <w:jc w:val="both"/>
        <w:rPr>
          <w:rFonts w:ascii="Arial" w:hAnsi="Arial" w:cs="Arial"/>
          <w:b/>
        </w:rPr>
      </w:pPr>
      <w:r w:rsidRPr="000941AC">
        <w:rPr>
          <w:rFonts w:ascii="Arial" w:hAnsi="Arial" w:cs="Arial"/>
          <w:b/>
        </w:rPr>
        <w:t>A tanulmány empirikus eszközökkel vizsgálja 368 magyar önkormányzat honlapjának információközlési gyakorlatát az átláthatóság, elszámoltathatóság és állampolgárok tájékoztatása szempontjaiból. A vizsgálat során figyelembe vettük azokat a hatályban lévő magyar törvényeket, amelyek az önkormányzatok számára több, működésükkel kapcsolatos információ közlését írják elő. Az önkormányzatok adatközlési gyakorlatát figyelembe véve mértük, hogy milyen mértékben tartják be e törvényeket, mennyire jellemző rájuk törvénytisztelő, illetve törvényszegő magatartás. Eredményül azt kaptuk, hogy a magyar városok önkormányzatait inkább az átláthatóság hiánya és törvényszegő magatartás jellemzi, bár több önkormányzat példája is arra mutat, hogy lehetséges a törvények betartása. Mindennek következményeképp feltételezhető, hogy a törvényszegő önkormányzatok a korrupciós kockázatok magas szintje mellett működnek. Másrészt az önkormányzatok törvényszegő magatartása messzemenően rombolja a törvénykövető magatartás ethoszát.</w:t>
      </w:r>
    </w:p>
    <w:p w:rsidR="00785BE6" w:rsidRPr="004D670E" w:rsidRDefault="00785BE6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 xml:space="preserve">Az átláthatóság nemcsak a korrupciót csökkenti, hanem az egyik elengedhetetlen jellemzője a hatékony kormányzásnak. Nemcsak a korrupciós ügyletek költségeit növeli azáltal, hogy követhetőbbé és ellenőrizhetőbbé válnak azok a tranzakciók, önkormányzati döntések, amelyekhez korrupció kapcsolódhat, és így könnyebbé teszi a korrupt tranzakciók felderítését, hanem eszközül szolgál a modern állami működés és a nyílt kormányzás számára, és ennyiben elősegíti az állampolgári </w:t>
      </w:r>
      <w:proofErr w:type="spellStart"/>
      <w:r w:rsidRPr="005D291C">
        <w:rPr>
          <w:rFonts w:ascii="Arial" w:hAnsi="Arial" w:cs="Arial"/>
          <w:sz w:val="24"/>
          <w:szCs w:val="24"/>
        </w:rPr>
        <w:t>participációt</w:t>
      </w:r>
      <w:proofErr w:type="spellEnd"/>
      <w:r w:rsidRPr="005D291C">
        <w:rPr>
          <w:rFonts w:ascii="Arial" w:hAnsi="Arial" w:cs="Arial"/>
          <w:sz w:val="24"/>
          <w:szCs w:val="24"/>
        </w:rPr>
        <w:t xml:space="preserve"> – ezzel pedig növeli az állami intézményekkel, esetünkben az önkormányzatokkal kapcsolatos közbizalmat.</w:t>
      </w:r>
    </w:p>
    <w:p w:rsid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A közbizalom léte, a joguralom érvényesülése és az ebbe vetett hit alapja a hosszú távú gazdasági növekedésnek és végső soron feltétele a társadalom jólétének.</w:t>
      </w:r>
    </w:p>
    <w:p w:rsidR="005D291C" w:rsidRDefault="005D291C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A Korrupciókutató-központ Budapest elemzése azt a célt szolgálja, hogy tükröt tartson a magyar városi önkormányzatok elé: azt kívánja bemutatni, hogy az átláthatóság követelményei mennyire érvényesülnek az önkormányzatok honlapjain, illetve mennyire tartják be maguk az önkormányzatok a rájuk vonatkozó törvényeket. A törvénytisztelet, a jogkövető magatartás a modern demokráciák alapja. Nagymértékben rombolja az állampolgárok, a vállalkozások jogkövető magatartás iránti elkötelezettségét, ha maguk az állami intézmények sértenek törvényt.</w:t>
      </w:r>
    </w:p>
    <w:p w:rsidR="00785BE6" w:rsidRPr="004D670E" w:rsidRDefault="005D291C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Ennek érdekében a</w:t>
      </w:r>
      <w:r w:rsidR="00785BE6" w:rsidRPr="004D67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Korrupciókutató-központ </w:t>
      </w:r>
      <w:r w:rsidR="00785BE6" w:rsidRPr="004D670E">
        <w:rPr>
          <w:rFonts w:ascii="Arial" w:hAnsi="Arial" w:cs="Arial"/>
          <w:sz w:val="24"/>
          <w:szCs w:val="24"/>
        </w:rPr>
        <w:t>Budapes</w:t>
      </w:r>
      <w:r>
        <w:rPr>
          <w:rFonts w:ascii="Arial" w:hAnsi="Arial" w:cs="Arial"/>
          <w:sz w:val="24"/>
          <w:szCs w:val="24"/>
        </w:rPr>
        <w:t>t</w:t>
      </w:r>
      <w:r w:rsidR="00E36116" w:rsidRPr="004D670E">
        <w:rPr>
          <w:rFonts w:ascii="Arial" w:hAnsi="Arial" w:cs="Arial"/>
          <w:sz w:val="24"/>
          <w:szCs w:val="24"/>
        </w:rPr>
        <w:t xml:space="preserve"> 2012 után </w:t>
      </w:r>
      <w:r>
        <w:rPr>
          <w:rFonts w:ascii="Arial" w:hAnsi="Arial" w:cs="Arial"/>
          <w:sz w:val="24"/>
          <w:szCs w:val="24"/>
        </w:rPr>
        <w:t xml:space="preserve">2014-ben </w:t>
      </w:r>
      <w:r w:rsidR="00E36116" w:rsidRPr="004D670E">
        <w:rPr>
          <w:rFonts w:ascii="Arial" w:hAnsi="Arial" w:cs="Arial"/>
          <w:sz w:val="24"/>
          <w:szCs w:val="24"/>
        </w:rPr>
        <w:t>is elkészítette</w:t>
      </w:r>
      <w:r w:rsidR="00763FE6" w:rsidRPr="004D670E">
        <w:rPr>
          <w:rFonts w:ascii="Arial" w:hAnsi="Arial" w:cs="Arial"/>
          <w:sz w:val="24"/>
          <w:szCs w:val="24"/>
        </w:rPr>
        <w:t xml:space="preserve"> </w:t>
      </w:r>
      <w:r w:rsidR="00A81E63" w:rsidRPr="004D670E">
        <w:rPr>
          <w:rFonts w:ascii="Arial" w:hAnsi="Arial" w:cs="Arial"/>
          <w:sz w:val="24"/>
          <w:szCs w:val="24"/>
        </w:rPr>
        <w:t>„</w:t>
      </w:r>
      <w:r w:rsidR="00785BE6" w:rsidRPr="004D670E">
        <w:rPr>
          <w:rFonts w:ascii="Arial" w:hAnsi="Arial" w:cs="Arial"/>
          <w:sz w:val="24"/>
          <w:szCs w:val="24"/>
        </w:rPr>
        <w:t>Korrupciós kockázatok, törvénytisztelet és világháló</w:t>
      </w:r>
      <w:r w:rsidR="00A81E63" w:rsidRPr="004D670E">
        <w:rPr>
          <w:rFonts w:ascii="Arial" w:hAnsi="Arial" w:cs="Arial"/>
          <w:sz w:val="24"/>
          <w:szCs w:val="24"/>
        </w:rPr>
        <w:t>”</w:t>
      </w:r>
      <w:r w:rsidR="00785BE6" w:rsidRPr="004D670E">
        <w:rPr>
          <w:rFonts w:ascii="Arial" w:hAnsi="Arial" w:cs="Arial"/>
          <w:sz w:val="24"/>
          <w:szCs w:val="24"/>
        </w:rPr>
        <w:t xml:space="preserve"> </w:t>
      </w:r>
      <w:r w:rsidR="00E36116" w:rsidRPr="004D670E">
        <w:rPr>
          <w:rFonts w:ascii="Arial" w:hAnsi="Arial" w:cs="Arial"/>
          <w:sz w:val="24"/>
          <w:szCs w:val="24"/>
        </w:rPr>
        <w:t xml:space="preserve">című </w:t>
      </w:r>
      <w:r w:rsidR="00785BE6" w:rsidRPr="004D670E">
        <w:rPr>
          <w:rFonts w:ascii="Arial" w:hAnsi="Arial" w:cs="Arial"/>
          <w:sz w:val="24"/>
          <w:szCs w:val="24"/>
        </w:rPr>
        <w:t>felmérés</w:t>
      </w:r>
      <w:r w:rsidR="00E36116" w:rsidRPr="004D670E">
        <w:rPr>
          <w:rFonts w:ascii="Arial" w:hAnsi="Arial" w:cs="Arial"/>
          <w:sz w:val="24"/>
          <w:szCs w:val="24"/>
        </w:rPr>
        <w:t xml:space="preserve">ét, </w:t>
      </w:r>
      <w:r w:rsidR="00E36116" w:rsidRPr="004D670E">
        <w:rPr>
          <w:rFonts w:ascii="Arial" w:hAnsi="Arial" w:cs="Arial"/>
          <w:sz w:val="24"/>
          <w:szCs w:val="24"/>
        </w:rPr>
        <w:lastRenderedPageBreak/>
        <w:t xml:space="preserve">amely a </w:t>
      </w:r>
      <w:r w:rsidR="00785BE6" w:rsidRPr="004D670E">
        <w:rPr>
          <w:rFonts w:ascii="Arial" w:hAnsi="Arial" w:cs="Arial"/>
          <w:sz w:val="24"/>
          <w:szCs w:val="24"/>
        </w:rPr>
        <w:t>magyarországi</w:t>
      </w:r>
      <w:r w:rsidR="00763FE6" w:rsidRPr="004D670E">
        <w:rPr>
          <w:rFonts w:ascii="Arial" w:hAnsi="Arial" w:cs="Arial"/>
          <w:sz w:val="24"/>
          <w:szCs w:val="24"/>
        </w:rPr>
        <w:t xml:space="preserve"> városok </w:t>
      </w:r>
      <w:r w:rsidR="00E36116" w:rsidRPr="004D670E">
        <w:rPr>
          <w:rFonts w:ascii="Arial" w:hAnsi="Arial" w:cs="Arial"/>
          <w:sz w:val="24"/>
          <w:szCs w:val="24"/>
        </w:rPr>
        <w:t>korrupciós kockázatát vizsgálja az önkormányzatok honlapjai alapján</w:t>
      </w:r>
      <w:r w:rsidR="00763FE6" w:rsidRPr="004D670E">
        <w:rPr>
          <w:rFonts w:ascii="Arial" w:hAnsi="Arial" w:cs="Arial"/>
          <w:sz w:val="24"/>
          <w:szCs w:val="24"/>
        </w:rPr>
        <w:t xml:space="preserve">. </w:t>
      </w:r>
      <w:r w:rsidR="004F536E" w:rsidRPr="004D670E">
        <w:rPr>
          <w:rFonts w:ascii="Arial" w:hAnsi="Arial" w:cs="Arial"/>
          <w:sz w:val="24"/>
          <w:szCs w:val="24"/>
        </w:rPr>
        <w:t xml:space="preserve">A 2013 nyarán végzett </w:t>
      </w:r>
      <w:r>
        <w:rPr>
          <w:rFonts w:ascii="Arial" w:hAnsi="Arial" w:cs="Arial"/>
          <w:sz w:val="24"/>
          <w:szCs w:val="24"/>
        </w:rPr>
        <w:t xml:space="preserve">adatfelvétel </w:t>
      </w:r>
      <w:r w:rsidR="004F536E" w:rsidRPr="004D670E">
        <w:rPr>
          <w:rFonts w:ascii="Arial" w:hAnsi="Arial" w:cs="Arial"/>
          <w:sz w:val="24"/>
          <w:szCs w:val="24"/>
        </w:rPr>
        <w:t>eredményei alapján</w:t>
      </w:r>
      <w:r w:rsidR="00785BE6" w:rsidRPr="004D670E">
        <w:rPr>
          <w:rFonts w:ascii="Arial" w:hAnsi="Arial" w:cs="Arial"/>
          <w:sz w:val="24"/>
          <w:szCs w:val="24"/>
        </w:rPr>
        <w:t xml:space="preserve"> a </w:t>
      </w:r>
      <w:r w:rsidR="00493538" w:rsidRPr="004D670E">
        <w:rPr>
          <w:rFonts w:ascii="Arial" w:hAnsi="Arial" w:cs="Arial"/>
          <w:sz w:val="24"/>
          <w:szCs w:val="24"/>
        </w:rPr>
        <w:t xml:space="preserve">legeredményesebben Sopron szerepelt; az összetett mutatók szerint mind a legnyitottabb mind a legtörvénytisztelőbb kategóriában az elsők között </w:t>
      </w:r>
      <w:r w:rsidR="00977F9C">
        <w:rPr>
          <w:rFonts w:ascii="Arial" w:hAnsi="Arial" w:cs="Arial"/>
          <w:sz w:val="24"/>
          <w:szCs w:val="24"/>
        </w:rPr>
        <w:t>foglal helyet</w:t>
      </w:r>
      <w:r w:rsidR="00493538" w:rsidRPr="004D670E">
        <w:rPr>
          <w:rFonts w:ascii="Arial" w:hAnsi="Arial" w:cs="Arial"/>
          <w:sz w:val="24"/>
          <w:szCs w:val="24"/>
        </w:rPr>
        <w:t>.</w:t>
      </w:r>
    </w:p>
    <w:p w:rsidR="005D291C" w:rsidRDefault="00493538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t>A kutatásban az összes magyarországi város szerepelt; a 23 fővárosi kerület, a 23 megyei jogú- és további 322 város. Az önkormányzatok honlapjait a tavalyihoz hasonlóan, előre összeállított szempontok szerint vizsgálták; többek között rákérdeztek arra, találhatóak-e a honlapon közbeszerzési szerződések, jegyzőkönyvek a testületi ülésekről, de az átláthatóságra vonatkozó kérdéseket is feltettek, például hogy milyen nyelven érhető el a honlap, vagy van-e rajta oldaltérkép.</w:t>
      </w:r>
    </w:p>
    <w:p w:rsidR="00493538" w:rsidRPr="004D670E" w:rsidRDefault="00493538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t>Az adatbázis matematikai-statisztikai módszerekkel való elemzésének és összetett mutatók kiszámolásának segítségével keresték a „legnyitottabb” illetve a „legtörvénytisztelőbb” városokat. A nyitottsági index az adatokhoz való hozzáférhetőséget és azok átláthatóságát mutatja, a törvénytiszteleti index pedig a törvényileg szabályozott információk közzétételére vonatkozik.</w:t>
      </w:r>
    </w:p>
    <w:p w:rsidR="00806FFF" w:rsidRDefault="00F12526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t xml:space="preserve">A </w:t>
      </w:r>
      <w:r w:rsidR="008C68AD" w:rsidRPr="004D670E">
        <w:rPr>
          <w:rFonts w:ascii="Arial" w:hAnsi="Arial" w:cs="Arial"/>
          <w:sz w:val="24"/>
          <w:szCs w:val="24"/>
        </w:rPr>
        <w:t>Magyar ö</w:t>
      </w:r>
      <w:r w:rsidR="0098703C" w:rsidRPr="004D670E">
        <w:rPr>
          <w:rFonts w:ascii="Arial" w:hAnsi="Arial" w:cs="Arial"/>
          <w:sz w:val="24"/>
          <w:szCs w:val="24"/>
        </w:rPr>
        <w:t>n</w:t>
      </w:r>
      <w:r w:rsidR="008C68AD" w:rsidRPr="004D670E">
        <w:rPr>
          <w:rFonts w:ascii="Arial" w:hAnsi="Arial" w:cs="Arial"/>
          <w:sz w:val="24"/>
          <w:szCs w:val="24"/>
        </w:rPr>
        <w:t>kormányzati Nyitottság Index (M</w:t>
      </w:r>
      <w:r w:rsidR="005D291C">
        <w:rPr>
          <w:rFonts w:ascii="Arial" w:hAnsi="Arial" w:cs="Arial"/>
          <w:sz w:val="24"/>
          <w:szCs w:val="24"/>
        </w:rPr>
        <w:t>A</w:t>
      </w:r>
      <w:r w:rsidR="0098703C" w:rsidRPr="004D670E">
        <w:rPr>
          <w:rFonts w:ascii="Arial" w:hAnsi="Arial" w:cs="Arial"/>
          <w:sz w:val="24"/>
          <w:szCs w:val="24"/>
        </w:rPr>
        <w:t xml:space="preserve">NYI) </w:t>
      </w:r>
      <w:r w:rsidRPr="004D670E">
        <w:rPr>
          <w:rFonts w:ascii="Arial" w:hAnsi="Arial" w:cs="Arial"/>
          <w:sz w:val="24"/>
          <w:szCs w:val="24"/>
        </w:rPr>
        <w:t>értékekeit tekintve a városok listájában első helyen Sopron áll, azt Pilisvörösvár, majd holtversenyben Békéscsaba</w:t>
      </w:r>
      <w:r w:rsidR="00EC06B7" w:rsidRPr="004D670E">
        <w:rPr>
          <w:rFonts w:ascii="Arial" w:hAnsi="Arial" w:cs="Arial"/>
          <w:sz w:val="24"/>
          <w:szCs w:val="24"/>
        </w:rPr>
        <w:t>, Kecskemét és Szeged követi</w:t>
      </w:r>
      <w:r w:rsidRPr="004D670E">
        <w:rPr>
          <w:rFonts w:ascii="Arial" w:hAnsi="Arial" w:cs="Arial"/>
          <w:sz w:val="24"/>
          <w:szCs w:val="24"/>
        </w:rPr>
        <w:t>.</w:t>
      </w:r>
    </w:p>
    <w:p w:rsidR="00806FFF" w:rsidRDefault="00806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12526" w:rsidRDefault="00F12526" w:rsidP="00987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320" w:type="dxa"/>
        <w:jc w:val="center"/>
        <w:tblLook w:val="04A0" w:firstRow="1" w:lastRow="0" w:firstColumn="1" w:lastColumn="0" w:noHBand="0" w:noVBand="1"/>
      </w:tblPr>
      <w:tblGrid>
        <w:gridCol w:w="980"/>
        <w:gridCol w:w="2460"/>
        <w:gridCol w:w="1900"/>
      </w:tblGrid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Sorszám</w:t>
            </w:r>
            <w:proofErr w:type="spellEnd"/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Településnév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nil"/>
              <w:right w:val="single" w:sz="8" w:space="0" w:color="94C600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MANYI </w:t>
            </w: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értéke</w:t>
            </w:r>
            <w:proofErr w:type="spellEnd"/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Sopron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0,94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Pilisvörösvár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0,88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Békéscsaba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Kecskemét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Szeged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Bábolna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22.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Bük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Göd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Hévíz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Kistarcsa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Lajosmizse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Martfű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Mezőberény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Mezőkövesd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Mórahalom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Nyíregyháza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Tatabánya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Zalaegerszeg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Balatonalmádi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Balmazújváros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Budaörs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02.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13.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18.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23.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Debrecen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Esztergom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Fót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Gyomaendrőd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Győr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Jászberény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Kaba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Kapuvár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Kisújszállás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Lenti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Nagykanizsa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Nyergesújfalu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Nyírbátor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Orosháza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Solt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Szentes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Szentgotthárd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Tapolca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Tiszaföldvár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</w:tbl>
    <w:p w:rsidR="00493538" w:rsidRPr="004D670E" w:rsidRDefault="00493538" w:rsidP="00493538">
      <w:pPr>
        <w:jc w:val="center"/>
        <w:rPr>
          <w:rFonts w:ascii="Arial" w:hAnsi="Arial" w:cs="Arial"/>
          <w:i/>
          <w:sz w:val="24"/>
          <w:szCs w:val="24"/>
        </w:rPr>
      </w:pPr>
      <w:r w:rsidRPr="004D670E">
        <w:rPr>
          <w:rFonts w:ascii="Arial" w:hAnsi="Arial" w:cs="Arial"/>
          <w:i/>
          <w:sz w:val="24"/>
          <w:szCs w:val="24"/>
        </w:rPr>
        <w:t>Forrás: Korrupciókutató Központ Budapest</w:t>
      </w:r>
    </w:p>
    <w:p w:rsidR="0098703C" w:rsidRPr="004D670E" w:rsidRDefault="0098703C">
      <w:pPr>
        <w:rPr>
          <w:rFonts w:ascii="Arial" w:hAnsi="Arial" w:cs="Arial"/>
          <w:sz w:val="24"/>
          <w:szCs w:val="24"/>
        </w:rPr>
      </w:pPr>
    </w:p>
    <w:p w:rsidR="005D291C" w:rsidRDefault="008C68AD" w:rsidP="008C6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t>Az Önkormányzati Törvénytisztelet Index (Ö</w:t>
      </w:r>
      <w:r w:rsidR="005D291C">
        <w:rPr>
          <w:rFonts w:ascii="Arial" w:hAnsi="Arial" w:cs="Arial"/>
          <w:sz w:val="24"/>
          <w:szCs w:val="24"/>
        </w:rPr>
        <w:t>N</w:t>
      </w:r>
      <w:r w:rsidRPr="004D670E">
        <w:rPr>
          <w:rFonts w:ascii="Arial" w:hAnsi="Arial" w:cs="Arial"/>
          <w:sz w:val="24"/>
          <w:szCs w:val="24"/>
        </w:rPr>
        <w:t>TI)</w:t>
      </w:r>
      <w:r w:rsidR="00A81E63" w:rsidRPr="004D670E">
        <w:rPr>
          <w:rFonts w:ascii="Arial" w:hAnsi="Arial" w:cs="Arial"/>
          <w:sz w:val="24"/>
          <w:szCs w:val="24"/>
        </w:rPr>
        <w:t xml:space="preserve"> alapján </w:t>
      </w:r>
      <w:r w:rsidR="00DA6188" w:rsidRPr="004D670E">
        <w:rPr>
          <w:rFonts w:ascii="Arial" w:hAnsi="Arial" w:cs="Arial"/>
          <w:sz w:val="24"/>
          <w:szCs w:val="24"/>
        </w:rPr>
        <w:t xml:space="preserve">a legtörvénytisztelőbb város kategóriában </w:t>
      </w:r>
      <w:r w:rsidR="00A81E63" w:rsidRPr="004D670E">
        <w:rPr>
          <w:rFonts w:ascii="Arial" w:hAnsi="Arial" w:cs="Arial"/>
          <w:sz w:val="24"/>
          <w:szCs w:val="24"/>
        </w:rPr>
        <w:t xml:space="preserve">ma Magyarországon </w:t>
      </w:r>
      <w:r w:rsidR="00DA6188" w:rsidRPr="004D670E">
        <w:rPr>
          <w:rFonts w:ascii="Arial" w:hAnsi="Arial" w:cs="Arial"/>
          <w:sz w:val="24"/>
          <w:szCs w:val="24"/>
        </w:rPr>
        <w:t>hat város szerepel az első helyen, azonos értékkel;</w:t>
      </w:r>
      <w:r w:rsidR="0098703C" w:rsidRPr="004D670E">
        <w:rPr>
          <w:rFonts w:ascii="Arial" w:hAnsi="Arial" w:cs="Arial"/>
          <w:sz w:val="24"/>
          <w:szCs w:val="24"/>
        </w:rPr>
        <w:t xml:space="preserve"> Budapest 23. kerülete, Kaba, Me</w:t>
      </w:r>
      <w:r w:rsidR="003F58B9" w:rsidRPr="004D670E">
        <w:rPr>
          <w:rFonts w:ascii="Arial" w:hAnsi="Arial" w:cs="Arial"/>
          <w:sz w:val="24"/>
          <w:szCs w:val="24"/>
        </w:rPr>
        <w:t>zőberény, Pilisvörösvár, Sopron és Zalaegerszeg</w:t>
      </w:r>
      <w:r w:rsidR="009C6313" w:rsidRPr="004D670E">
        <w:rPr>
          <w:rFonts w:ascii="Arial" w:hAnsi="Arial" w:cs="Arial"/>
          <w:sz w:val="24"/>
          <w:szCs w:val="24"/>
        </w:rPr>
        <w:t>.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980"/>
        <w:gridCol w:w="2900"/>
        <w:gridCol w:w="1940"/>
      </w:tblGrid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Sorszám</w:t>
            </w:r>
            <w:proofErr w:type="spellEnd"/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Településnév</w:t>
            </w:r>
            <w:proofErr w:type="spellEnd"/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nil"/>
              <w:right w:val="single" w:sz="8" w:space="0" w:color="94C600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ÖNTI </w:t>
            </w: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értéke</w:t>
            </w:r>
            <w:proofErr w:type="spellEnd"/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23.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Kaba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Mezőberény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Pilisvörösvár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Sopron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Zalaegerszeg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Ács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Bábolna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Békéscsaba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18.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20.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Budapest 22. </w:t>
            </w:r>
            <w:proofErr w:type="spellStart"/>
            <w:proofErr w:type="gram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ker</w:t>
            </w:r>
            <w:proofErr w:type="spellEnd"/>
            <w:proofErr w:type="gram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.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Bük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Cegléd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Győr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Hajdúnánás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Hévíz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Kecel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Kecskemét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Kistarcsa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Komárom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Lajosmizse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Mezőhegyes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Mezőkövesd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Mohács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Mórahalom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Nyíregyháza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Pusztaszabolcs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Szeged      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Szentgotthárd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Tiszaföldvár</w:t>
            </w:r>
            <w:proofErr w:type="spellEnd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      </w:t>
            </w:r>
          </w:p>
        </w:tc>
        <w:tc>
          <w:tcPr>
            <w:tcW w:w="194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</w:tbl>
    <w:p w:rsidR="00F12526" w:rsidRPr="004D670E" w:rsidRDefault="00DA6188" w:rsidP="00DA6188">
      <w:pPr>
        <w:jc w:val="center"/>
        <w:rPr>
          <w:rFonts w:ascii="Arial" w:hAnsi="Arial" w:cs="Arial"/>
          <w:i/>
          <w:sz w:val="24"/>
          <w:szCs w:val="24"/>
        </w:rPr>
      </w:pPr>
      <w:r w:rsidRPr="004D670E">
        <w:rPr>
          <w:rFonts w:ascii="Arial" w:hAnsi="Arial" w:cs="Arial"/>
          <w:i/>
          <w:sz w:val="24"/>
          <w:szCs w:val="24"/>
        </w:rPr>
        <w:t>Forrás: Korrupciókutató Központ Budapest</w:t>
      </w:r>
    </w:p>
    <w:p w:rsidR="005D291C" w:rsidRDefault="005D291C">
      <w:pPr>
        <w:rPr>
          <w:rFonts w:ascii="Arial" w:hAnsi="Arial" w:cs="Arial"/>
          <w:sz w:val="24"/>
          <w:szCs w:val="24"/>
        </w:rPr>
      </w:pPr>
    </w:p>
    <w:p w:rsidR="005D291C" w:rsidRDefault="00B40328" w:rsidP="00AE4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t xml:space="preserve">A megyeszékhelyeket vizsgálva elmondható, hogy a legnyitottabbak – azonos </w:t>
      </w:r>
      <w:r w:rsidR="00973690" w:rsidRPr="004D670E">
        <w:rPr>
          <w:rFonts w:ascii="Arial" w:hAnsi="Arial" w:cs="Arial"/>
          <w:sz w:val="24"/>
          <w:szCs w:val="24"/>
        </w:rPr>
        <w:t>pontszámot</w:t>
      </w:r>
      <w:r w:rsidRPr="004D670E">
        <w:rPr>
          <w:rFonts w:ascii="Arial" w:hAnsi="Arial" w:cs="Arial"/>
          <w:sz w:val="24"/>
          <w:szCs w:val="24"/>
        </w:rPr>
        <w:t xml:space="preserve"> elérve – Békéscsaba, </w:t>
      </w:r>
      <w:r w:rsidR="005D291C">
        <w:rPr>
          <w:rFonts w:ascii="Arial" w:hAnsi="Arial" w:cs="Arial"/>
          <w:sz w:val="24"/>
          <w:szCs w:val="24"/>
        </w:rPr>
        <w:t>Szeged és Kecskemét önkormányzatai.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980"/>
        <w:gridCol w:w="2460"/>
        <w:gridCol w:w="2920"/>
      </w:tblGrid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Sorszám</w:t>
            </w:r>
            <w:proofErr w:type="spellEnd"/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Megyeszékhely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nil"/>
              <w:right w:val="single" w:sz="8" w:space="0" w:color="94C600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MANYI </w:t>
            </w: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értéke</w:t>
            </w:r>
            <w:proofErr w:type="spellEnd"/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Békéscsaba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Szeged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Kecskemét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0,82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Zalaegerszeg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  <w:bookmarkStart w:id="0" w:name="_GoBack"/>
        <w:bookmarkEnd w:id="0"/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Nyíregyháza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Tatabánya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Győr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Debrecen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0,71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Szombathely</w:t>
            </w:r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0,65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Miskolc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0,65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Salgótarján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Szekszárd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Kaposvár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Szolnok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0,53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Pécs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0,53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Eger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0,47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46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Székesfehérvár</w:t>
            </w:r>
            <w:proofErr w:type="spellEnd"/>
          </w:p>
        </w:tc>
        <w:tc>
          <w:tcPr>
            <w:tcW w:w="292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0,47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Veszprém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0,24</w:t>
            </w:r>
          </w:p>
        </w:tc>
      </w:tr>
    </w:tbl>
    <w:p w:rsidR="00AE43B4" w:rsidRPr="004D670E" w:rsidRDefault="00AE43B4" w:rsidP="00AE43B4">
      <w:pPr>
        <w:jc w:val="center"/>
        <w:rPr>
          <w:rFonts w:ascii="Arial" w:hAnsi="Arial" w:cs="Arial"/>
          <w:i/>
          <w:sz w:val="24"/>
          <w:szCs w:val="24"/>
        </w:rPr>
      </w:pPr>
      <w:r w:rsidRPr="004D670E">
        <w:rPr>
          <w:rFonts w:ascii="Arial" w:hAnsi="Arial" w:cs="Arial"/>
          <w:i/>
          <w:sz w:val="24"/>
          <w:szCs w:val="24"/>
        </w:rPr>
        <w:t>Forrás: Korrupciókutató Központ Budapest</w:t>
      </w:r>
    </w:p>
    <w:p w:rsidR="005D291C" w:rsidRDefault="005D2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43B4" w:rsidRPr="004D670E" w:rsidRDefault="00AE43B4" w:rsidP="00AE4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70E">
        <w:rPr>
          <w:rFonts w:ascii="Arial" w:hAnsi="Arial" w:cs="Arial"/>
          <w:sz w:val="24"/>
          <w:szCs w:val="24"/>
        </w:rPr>
        <w:lastRenderedPageBreak/>
        <w:t>A törvénytisztelet tekintetében legjobban Zalaegerszeg teljesített.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980"/>
        <w:gridCol w:w="2900"/>
        <w:gridCol w:w="1900"/>
      </w:tblGrid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Sorszám</w:t>
            </w:r>
            <w:proofErr w:type="spellEnd"/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nil"/>
              <w:right w:val="nil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Megyeszékhely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nil"/>
              <w:right w:val="single" w:sz="8" w:space="0" w:color="94C600"/>
            </w:tcBorders>
            <w:shd w:val="clear" w:color="000000" w:fill="94C600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ÖNTI </w:t>
            </w:r>
            <w:proofErr w:type="spellStart"/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értéke</w:t>
            </w:r>
            <w:proofErr w:type="spellEnd"/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Zalaegerszeg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1,0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Békéscsaba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Szeged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Győr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Nyíregyháza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Kecskemét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0,9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Tatabánya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Debrecen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Salgótarján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0,8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Szombathely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Miskolc</w:t>
            </w:r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Szolnok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0,7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Szekszárd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Pécs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0,6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Kaposvár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lang w:val="en-US"/>
              </w:rPr>
              <w:t>Eger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single" w:sz="8" w:space="0" w:color="94C600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900" w:type="dxa"/>
            <w:tcBorders>
              <w:top w:val="single" w:sz="8" w:space="0" w:color="94C600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lang w:val="en-US"/>
              </w:rPr>
              <w:t>Székesfehérvár</w:t>
            </w:r>
            <w:proofErr w:type="spellEnd"/>
          </w:p>
        </w:tc>
        <w:tc>
          <w:tcPr>
            <w:tcW w:w="1900" w:type="dxa"/>
            <w:tcBorders>
              <w:top w:val="single" w:sz="8" w:space="0" w:color="94C600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0,5</w:t>
            </w:r>
          </w:p>
        </w:tc>
      </w:tr>
      <w:tr w:rsidR="005D291C" w:rsidRPr="005D291C" w:rsidTr="005D291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94C600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94C600"/>
              <w:right w:val="nil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Veszprém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94C600"/>
              <w:right w:val="single" w:sz="8" w:space="0" w:color="94C600"/>
            </w:tcBorders>
            <w:shd w:val="clear" w:color="auto" w:fill="auto"/>
            <w:noWrap/>
            <w:vAlign w:val="center"/>
            <w:hideMark/>
          </w:tcPr>
          <w:p w:rsidR="005D291C" w:rsidRPr="005D291C" w:rsidRDefault="005D291C" w:rsidP="005D29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D291C">
              <w:rPr>
                <w:rFonts w:ascii="Calibri" w:eastAsia="Times New Roman" w:hAnsi="Calibri" w:cs="Times New Roman"/>
                <w:color w:val="000000"/>
                <w:lang w:val="en-US"/>
              </w:rPr>
              <w:t>0,2</w:t>
            </w:r>
          </w:p>
        </w:tc>
      </w:tr>
    </w:tbl>
    <w:p w:rsidR="005D291C" w:rsidRDefault="005D291C" w:rsidP="00460893">
      <w:pPr>
        <w:jc w:val="center"/>
        <w:rPr>
          <w:rFonts w:ascii="Arial" w:hAnsi="Arial" w:cs="Arial"/>
          <w:i/>
          <w:sz w:val="24"/>
          <w:szCs w:val="24"/>
        </w:rPr>
      </w:pPr>
    </w:p>
    <w:p w:rsidR="004D670E" w:rsidRPr="00460893" w:rsidRDefault="00AE43B4" w:rsidP="00460893">
      <w:pPr>
        <w:jc w:val="center"/>
        <w:rPr>
          <w:rFonts w:ascii="Arial" w:hAnsi="Arial" w:cs="Arial"/>
          <w:i/>
          <w:sz w:val="24"/>
          <w:szCs w:val="24"/>
        </w:rPr>
      </w:pPr>
      <w:r w:rsidRPr="004D670E">
        <w:rPr>
          <w:rFonts w:ascii="Arial" w:hAnsi="Arial" w:cs="Arial"/>
          <w:i/>
          <w:sz w:val="24"/>
          <w:szCs w:val="24"/>
        </w:rPr>
        <w:t>Forrás: Korrupciókutató Központ Budapest</w:t>
      </w:r>
    </w:p>
    <w:p w:rsidR="005D291C" w:rsidRDefault="005D291C" w:rsidP="00AE4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</w:t>
      </w:r>
      <w:r w:rsidRPr="005D291C">
        <w:rPr>
          <w:rFonts w:ascii="Arial" w:hAnsi="Arial" w:cs="Arial"/>
          <w:sz w:val="24"/>
          <w:szCs w:val="24"/>
        </w:rPr>
        <w:t xml:space="preserve"> állampolgárok tájékoztatása nemcsak az állampolgári </w:t>
      </w:r>
      <w:proofErr w:type="spellStart"/>
      <w:r w:rsidRPr="005D291C">
        <w:rPr>
          <w:rFonts w:ascii="Arial" w:hAnsi="Arial" w:cs="Arial"/>
          <w:sz w:val="24"/>
          <w:szCs w:val="24"/>
        </w:rPr>
        <w:t>participáció</w:t>
      </w:r>
      <w:proofErr w:type="spellEnd"/>
      <w:r w:rsidRPr="005D291C">
        <w:rPr>
          <w:rFonts w:ascii="Arial" w:hAnsi="Arial" w:cs="Arial"/>
          <w:sz w:val="24"/>
          <w:szCs w:val="24"/>
        </w:rPr>
        <w:t xml:space="preserve"> megteremtésének eszköze, nemcsak az adótudatosság erősítését szolgálja, és az elszámoltathatóság része, hanem éppen ennyire feltétele a hatékony és jó kormányzásnak (</w:t>
      </w:r>
      <w:proofErr w:type="spellStart"/>
      <w:r w:rsidRPr="005D291C">
        <w:rPr>
          <w:rFonts w:ascii="Arial" w:hAnsi="Arial" w:cs="Arial"/>
          <w:sz w:val="24"/>
          <w:szCs w:val="24"/>
        </w:rPr>
        <w:t>good</w:t>
      </w:r>
      <w:proofErr w:type="spellEnd"/>
      <w:r w:rsidRPr="005D29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91C">
        <w:rPr>
          <w:rFonts w:ascii="Arial" w:hAnsi="Arial" w:cs="Arial"/>
          <w:sz w:val="24"/>
          <w:szCs w:val="24"/>
        </w:rPr>
        <w:t>governance</w:t>
      </w:r>
      <w:proofErr w:type="spellEnd"/>
      <w:proofErr w:type="gramStart"/>
      <w:r w:rsidRPr="005D291C">
        <w:rPr>
          <w:rFonts w:ascii="Arial" w:hAnsi="Arial" w:cs="Arial"/>
          <w:sz w:val="24"/>
          <w:szCs w:val="24"/>
        </w:rPr>
        <w:t>)  ,</w:t>
      </w:r>
      <w:proofErr w:type="gramEnd"/>
      <w:r w:rsidRPr="005D291C">
        <w:rPr>
          <w:rFonts w:ascii="Arial" w:hAnsi="Arial" w:cs="Arial"/>
          <w:sz w:val="24"/>
          <w:szCs w:val="24"/>
        </w:rPr>
        <w:t xml:space="preserve"> és az erőforrások hatékony allokációjának is.</w:t>
      </w: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 xml:space="preserve">Ebből a szempontból a magyar városok önkormányzataira pár kivételtől eltekintve inkább az átláthatatlanság, az elzárkózás, az információk eltitkolása, mint a nyitottság, az elszámoltathatóság jellemző. Az önkormányzati honlapok vizsgálata arra mutat, hogy olyan az állampolgári tájékozódás szempontjából fontos információk jellemzően nem jelennek meg a honlapokon, mint a testületi ülések napirendjei, összefoglalói, vagy az önkormányzati közbeszerzésekre vonatkozó információk. Azt is láthattuk, hogy ha az önkormányzat választhatott az elemi adatok vagy a nyilvánvalóan kevesebb információt tartalmazó </w:t>
      </w:r>
      <w:proofErr w:type="spellStart"/>
      <w:r w:rsidRPr="005D291C">
        <w:rPr>
          <w:rFonts w:ascii="Arial" w:hAnsi="Arial" w:cs="Arial"/>
          <w:sz w:val="24"/>
          <w:szCs w:val="24"/>
        </w:rPr>
        <w:t>aggregált</w:t>
      </w:r>
      <w:proofErr w:type="spellEnd"/>
      <w:r w:rsidRPr="005D291C">
        <w:rPr>
          <w:rFonts w:ascii="Arial" w:hAnsi="Arial" w:cs="Arial"/>
          <w:sz w:val="24"/>
          <w:szCs w:val="24"/>
        </w:rPr>
        <w:t xml:space="preserve"> adatok közlése között, akkor jellemzően a </w:t>
      </w:r>
      <w:r w:rsidRPr="005D291C">
        <w:rPr>
          <w:rFonts w:ascii="Arial" w:hAnsi="Arial" w:cs="Arial"/>
          <w:sz w:val="24"/>
          <w:szCs w:val="24"/>
        </w:rPr>
        <w:lastRenderedPageBreak/>
        <w:t>kevesebb információt tartalmazó, az átláthatóságot, az elszámoltathatóságot kevésbé szolgáló megoldásokat választott.</w:t>
      </w: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 xml:space="preserve">A kutatás eredményei alapján </w:t>
      </w:r>
      <w:r>
        <w:rPr>
          <w:rFonts w:ascii="Arial" w:hAnsi="Arial" w:cs="Arial"/>
          <w:sz w:val="24"/>
          <w:szCs w:val="24"/>
        </w:rPr>
        <w:t>megállapítható</w:t>
      </w:r>
      <w:r w:rsidRPr="005D291C">
        <w:rPr>
          <w:rFonts w:ascii="Arial" w:hAnsi="Arial" w:cs="Arial"/>
          <w:sz w:val="24"/>
          <w:szCs w:val="24"/>
        </w:rPr>
        <w:t>, hogy a magyar városok önkormányzatainak túlnyomó többsége törvényszegő</w:t>
      </w:r>
      <w:r>
        <w:rPr>
          <w:rFonts w:ascii="Arial" w:hAnsi="Arial" w:cs="Arial"/>
          <w:sz w:val="24"/>
          <w:szCs w:val="24"/>
        </w:rPr>
        <w:t>en jár el akkor, amikor meghatározza, hogy milyen információk jelennek meg honlapjain.</w:t>
      </w: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Bár ez az általános helyzet, de néhány önkormányzat pozitív példája bizonyíték arra, hogy lehetséges törvénytisztelő magatartás. Ez</w:t>
      </w:r>
      <w:r>
        <w:rPr>
          <w:rFonts w:ascii="Arial" w:hAnsi="Arial" w:cs="Arial"/>
          <w:sz w:val="24"/>
          <w:szCs w:val="24"/>
        </w:rPr>
        <w:t xml:space="preserve">en önkormányzatok </w:t>
      </w:r>
      <w:r w:rsidRPr="005D291C">
        <w:rPr>
          <w:rFonts w:ascii="Arial" w:hAnsi="Arial" w:cs="Arial"/>
          <w:sz w:val="24"/>
          <w:szCs w:val="24"/>
        </w:rPr>
        <w:t>ugyanis minden törvényi előírásnak megfelelően járnak el, minden olyan adatot, információt közzétesznek honlapjaikon, amelyeket a törvények előírnak. Lehetséges tehát e jó példák követése és lehetséges a törvénytisztelő magatartás megvalósítása a többi magyar város és budapesti kerület önkormányzata számára is.</w:t>
      </w: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A fenti helyzet két következménnyel jár.</w:t>
      </w:r>
    </w:p>
    <w:p w:rsidR="005D291C" w:rsidRPr="005D291C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Egyrészt azt mutatja, hogy a magyar városok önkormányzatai jellemzően magas korrupciós kockázat mellett működnek. Az átláthatóság, elszámoltathatóság mértéke ugyanis fordított viszonyban áll a korrupciós kockázatok szintjével. A korrupció csökkentését az átláthatóság növelésén keresztül lehet - alacsony társadalmi ráfordítások mellett - elérni.</w:t>
      </w:r>
    </w:p>
    <w:p w:rsidR="005D291C" w:rsidRPr="004D670E" w:rsidRDefault="005D291C" w:rsidP="005D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91C">
        <w:rPr>
          <w:rFonts w:ascii="Arial" w:hAnsi="Arial" w:cs="Arial"/>
          <w:sz w:val="24"/>
          <w:szCs w:val="24"/>
        </w:rPr>
        <w:t>Másrészt a törvénytisztelet hiánya, a törvényszegő magatartás ilyen mértékű elterjedése erős romboló hatással jár a törvénytisztelet ethoszára: hogyan várhatnánk el a vállalkozásoktól, a lakosságtól törvénykövető magatartást, ha maguk az állami intézmények mutatják fel a törvényszegő magatartás példáit?</w:t>
      </w:r>
    </w:p>
    <w:sectPr w:rsidR="005D291C" w:rsidRPr="004D670E" w:rsidSect="006557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88" w:rsidRDefault="00D76C88" w:rsidP="00806FFF">
      <w:pPr>
        <w:spacing w:after="0" w:line="240" w:lineRule="auto"/>
      </w:pPr>
      <w:r>
        <w:separator/>
      </w:r>
    </w:p>
  </w:endnote>
  <w:endnote w:type="continuationSeparator" w:id="0">
    <w:p w:rsidR="00D76C88" w:rsidRDefault="00D76C88" w:rsidP="0080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571910"/>
      <w:docPartObj>
        <w:docPartGallery w:val="Page Numbers (Bottom of Page)"/>
        <w:docPartUnique/>
      </w:docPartObj>
    </w:sdtPr>
    <w:sdtContent>
      <w:p w:rsidR="00806FFF" w:rsidRDefault="00806F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06FFF" w:rsidRDefault="00806F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88" w:rsidRDefault="00D76C88" w:rsidP="00806FFF">
      <w:pPr>
        <w:spacing w:after="0" w:line="240" w:lineRule="auto"/>
      </w:pPr>
      <w:r>
        <w:separator/>
      </w:r>
    </w:p>
  </w:footnote>
  <w:footnote w:type="continuationSeparator" w:id="0">
    <w:p w:rsidR="00D76C88" w:rsidRDefault="00D76C88" w:rsidP="00806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E6"/>
    <w:rsid w:val="000941AC"/>
    <w:rsid w:val="000B7D69"/>
    <w:rsid w:val="000F2C17"/>
    <w:rsid w:val="0015436B"/>
    <w:rsid w:val="001F3AB8"/>
    <w:rsid w:val="0021627A"/>
    <w:rsid w:val="00230787"/>
    <w:rsid w:val="002F63EF"/>
    <w:rsid w:val="003F58B9"/>
    <w:rsid w:val="00460893"/>
    <w:rsid w:val="004617C2"/>
    <w:rsid w:val="00493538"/>
    <w:rsid w:val="004D670E"/>
    <w:rsid w:val="004F4F86"/>
    <w:rsid w:val="004F536E"/>
    <w:rsid w:val="00504E3C"/>
    <w:rsid w:val="00595F6A"/>
    <w:rsid w:val="005D291C"/>
    <w:rsid w:val="006557BB"/>
    <w:rsid w:val="007376E2"/>
    <w:rsid w:val="00763FE6"/>
    <w:rsid w:val="00785BE6"/>
    <w:rsid w:val="007A13EB"/>
    <w:rsid w:val="007F58CF"/>
    <w:rsid w:val="00806FFF"/>
    <w:rsid w:val="008C68AD"/>
    <w:rsid w:val="00973690"/>
    <w:rsid w:val="00977F9C"/>
    <w:rsid w:val="0098703C"/>
    <w:rsid w:val="009C6313"/>
    <w:rsid w:val="00A750EA"/>
    <w:rsid w:val="00A81E63"/>
    <w:rsid w:val="00AB1CEC"/>
    <w:rsid w:val="00AE43B4"/>
    <w:rsid w:val="00B40328"/>
    <w:rsid w:val="00BA68E4"/>
    <w:rsid w:val="00C322BD"/>
    <w:rsid w:val="00CA521C"/>
    <w:rsid w:val="00D76C88"/>
    <w:rsid w:val="00DA1B59"/>
    <w:rsid w:val="00DA6188"/>
    <w:rsid w:val="00E36116"/>
    <w:rsid w:val="00E77B18"/>
    <w:rsid w:val="00EC06B7"/>
    <w:rsid w:val="00F12526"/>
    <w:rsid w:val="00FA3C4E"/>
    <w:rsid w:val="00FC3F86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5E214-50B7-4B89-8F97-70337FBD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B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LightList-Accent11">
    <w:name w:val="Light List - Accent 11"/>
    <w:basedOn w:val="Normltblzat"/>
    <w:uiPriority w:val="61"/>
    <w:rsid w:val="00B40328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0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6FFF"/>
  </w:style>
  <w:style w:type="paragraph" w:styleId="llb">
    <w:name w:val="footer"/>
    <w:basedOn w:val="Norml"/>
    <w:link w:val="llbChar"/>
    <w:uiPriority w:val="99"/>
    <w:unhideWhenUsed/>
    <w:rsid w:val="0080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Zsófia</dc:creator>
  <cp:lastModifiedBy>TIJ</cp:lastModifiedBy>
  <cp:revision>5</cp:revision>
  <dcterms:created xsi:type="dcterms:W3CDTF">2014-08-08T01:09:00Z</dcterms:created>
  <dcterms:modified xsi:type="dcterms:W3CDTF">2014-08-08T01:28:00Z</dcterms:modified>
</cp:coreProperties>
</file>